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Ridloff Elena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CBO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47,269</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85,801</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47,268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133,069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330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33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7.18</w:t>
            </w: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(4)</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165,440</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165,440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39.21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(4)</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165,440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of the Issuer. The RSUs will vest on June 17, 2027,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RSUs. Each RSU represents a contingent right to receive one share of Common Stock of the Issuer. The RSUs will vest upon the achievement of a designated performance milestone, subject to the Reporting Person's continued service with the Issuer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exercise price of the option is $7.18 per share, representing the fair market value per share of the Issuer's Common Stock on September 17, 2026 (the "Repricing Date"). Unless otherwise provided by the Issuer's board of directors or its compensation committee, if the option is exercised before the applicable retention period ends, the exercise price will revert to its original exercise price. The retention period begins on the Repricing Date and ends on the earliest of (i) the 18-month anniversary of the Repricing Date (March 17, 2028), (ii) a Sale Event (as defined in the Sionna Therapeutics, Inc. 2025 Stock Option and Incentive Plan (the "2025 Plan")) or (iii) certain qualifying terminations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Effective on the Repricing Date, the Issuer's board of directors approved an option repricing. All of the other terms of the options remain unchanged. Such transactions were exempt pursuant to Rule 16b-6(d) and Rule 16b-3 of the Exchange Act, as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stock option award was issued pursuant to the 2025 Plan, and becomes exercisable in accordance with the vesting schedule specified in the award agreement and as previously reported on the applicable Form 4, subject to the Reporting Person's continued service with the Issuer as of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Jennifer Fitzpatrick,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2518"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4921</Characters>
  <CharactersWithSpaces>5734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